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37B4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37B43">
        <w:rPr>
          <w:rFonts w:ascii="Corbel" w:hAnsi="Corbel"/>
          <w:b/>
          <w:bCs/>
        </w:rPr>
        <w:t xml:space="preserve">   </w:t>
      </w:r>
      <w:r w:rsidR="00CD6897" w:rsidRPr="00837B43">
        <w:rPr>
          <w:rFonts w:ascii="Corbel" w:hAnsi="Corbel"/>
          <w:b/>
          <w:bCs/>
        </w:rPr>
        <w:tab/>
      </w:r>
      <w:r w:rsidR="00CD6897" w:rsidRPr="00837B43">
        <w:rPr>
          <w:rFonts w:ascii="Corbel" w:hAnsi="Corbel"/>
          <w:b/>
          <w:bCs/>
        </w:rPr>
        <w:tab/>
      </w:r>
      <w:r w:rsidR="00CD6897" w:rsidRPr="00837B43">
        <w:rPr>
          <w:rFonts w:ascii="Corbel" w:hAnsi="Corbel"/>
          <w:b/>
          <w:bCs/>
        </w:rPr>
        <w:tab/>
      </w:r>
      <w:r w:rsidR="00CD6897" w:rsidRPr="00837B43">
        <w:rPr>
          <w:rFonts w:ascii="Corbel" w:hAnsi="Corbel"/>
          <w:b/>
          <w:bCs/>
        </w:rPr>
        <w:tab/>
      </w:r>
      <w:r w:rsidR="00CD6897" w:rsidRPr="00837B43">
        <w:rPr>
          <w:rFonts w:ascii="Corbel" w:hAnsi="Corbel"/>
          <w:b/>
          <w:bCs/>
        </w:rPr>
        <w:tab/>
      </w:r>
      <w:r w:rsidR="00CD6897" w:rsidRPr="00837B43">
        <w:rPr>
          <w:rFonts w:ascii="Corbel" w:hAnsi="Corbel"/>
          <w:b/>
          <w:bCs/>
        </w:rPr>
        <w:tab/>
      </w:r>
      <w:r w:rsidR="00D8678B" w:rsidRPr="00837B43">
        <w:rPr>
          <w:rFonts w:ascii="Corbel" w:hAnsi="Corbel"/>
          <w:bCs/>
          <w:i/>
        </w:rPr>
        <w:t xml:space="preserve">Załącznik nr </w:t>
      </w:r>
      <w:r w:rsidR="006F31E2" w:rsidRPr="00837B43">
        <w:rPr>
          <w:rFonts w:ascii="Corbel" w:hAnsi="Corbel"/>
          <w:bCs/>
          <w:i/>
        </w:rPr>
        <w:t>1.5</w:t>
      </w:r>
      <w:r w:rsidR="00D8678B" w:rsidRPr="00837B43">
        <w:rPr>
          <w:rFonts w:ascii="Corbel" w:hAnsi="Corbel"/>
          <w:bCs/>
          <w:i/>
        </w:rPr>
        <w:t xml:space="preserve"> do Zarządzenia</w:t>
      </w:r>
      <w:r w:rsidR="002A22BF" w:rsidRPr="00837B43">
        <w:rPr>
          <w:rFonts w:ascii="Corbel" w:hAnsi="Corbel"/>
          <w:bCs/>
          <w:i/>
        </w:rPr>
        <w:t xml:space="preserve"> Rektora </w:t>
      </w:r>
      <w:r w:rsidR="00C81AC6" w:rsidRPr="00837B43">
        <w:rPr>
          <w:rFonts w:ascii="Corbel" w:hAnsi="Corbel"/>
          <w:bCs/>
          <w:i/>
        </w:rPr>
        <w:t>UR nr</w:t>
      </w:r>
      <w:r w:rsidR="00CD6897" w:rsidRPr="00837B43">
        <w:rPr>
          <w:rFonts w:ascii="Corbel" w:hAnsi="Corbel"/>
          <w:bCs/>
          <w:i/>
        </w:rPr>
        <w:t xml:space="preserve"> </w:t>
      </w:r>
      <w:r w:rsidR="00F17567" w:rsidRPr="00837B43">
        <w:rPr>
          <w:rFonts w:ascii="Corbel" w:hAnsi="Corbel"/>
          <w:bCs/>
          <w:i/>
        </w:rPr>
        <w:t>12/2019</w:t>
      </w:r>
    </w:p>
    <w:p w:rsidR="0085747A" w:rsidRPr="00837B4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7B4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37B43" w:rsidRDefault="0071620A" w:rsidP="005431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7B4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37B43">
        <w:rPr>
          <w:rFonts w:ascii="Corbel" w:hAnsi="Corbel"/>
          <w:b/>
          <w:smallCaps/>
          <w:sz w:val="24"/>
          <w:szCs w:val="24"/>
        </w:rPr>
        <w:t xml:space="preserve"> </w:t>
      </w:r>
      <w:r w:rsidR="00F51205">
        <w:rPr>
          <w:rFonts w:ascii="Corbel" w:hAnsi="Corbel"/>
          <w:i/>
          <w:sz w:val="20"/>
          <w:szCs w:val="20"/>
        </w:rPr>
        <w:t>2022-2027</w:t>
      </w:r>
    </w:p>
    <w:p w:rsidR="00543104" w:rsidRPr="00837B43" w:rsidRDefault="00543104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7B43">
        <w:rPr>
          <w:rFonts w:ascii="Corbel" w:hAnsi="Corbel"/>
          <w:sz w:val="20"/>
          <w:szCs w:val="20"/>
        </w:rPr>
        <w:tab/>
      </w:r>
      <w:r w:rsidRPr="00837B43">
        <w:rPr>
          <w:rFonts w:ascii="Corbel" w:hAnsi="Corbel"/>
          <w:sz w:val="20"/>
          <w:szCs w:val="20"/>
        </w:rPr>
        <w:tab/>
      </w:r>
      <w:r w:rsidRPr="00837B43">
        <w:rPr>
          <w:rFonts w:ascii="Corbel" w:hAnsi="Corbel"/>
          <w:sz w:val="20"/>
          <w:szCs w:val="20"/>
        </w:rPr>
        <w:tab/>
      </w:r>
      <w:r w:rsidRPr="00837B43">
        <w:rPr>
          <w:rFonts w:ascii="Corbel" w:hAnsi="Corbel"/>
          <w:sz w:val="20"/>
          <w:szCs w:val="20"/>
        </w:rPr>
        <w:tab/>
        <w:t>(skrajne daty)</w:t>
      </w:r>
    </w:p>
    <w:p w:rsidR="00445970" w:rsidRPr="00837B43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7B43">
        <w:rPr>
          <w:rFonts w:ascii="Corbel" w:hAnsi="Corbel"/>
          <w:sz w:val="20"/>
          <w:szCs w:val="20"/>
        </w:rPr>
        <w:t xml:space="preserve">Rok akademicki </w:t>
      </w:r>
      <w:r w:rsidR="00543104" w:rsidRPr="00837B43">
        <w:rPr>
          <w:rFonts w:ascii="Corbel" w:hAnsi="Corbel"/>
          <w:sz w:val="20"/>
          <w:szCs w:val="20"/>
        </w:rPr>
        <w:t>20</w:t>
      </w:r>
      <w:r w:rsidR="00BE7D0D" w:rsidRPr="00837B43">
        <w:rPr>
          <w:rFonts w:ascii="Corbel" w:hAnsi="Corbel"/>
          <w:sz w:val="20"/>
          <w:szCs w:val="20"/>
        </w:rPr>
        <w:t>2</w:t>
      </w:r>
      <w:r w:rsidR="00D804E9" w:rsidRPr="00837B43">
        <w:rPr>
          <w:rFonts w:ascii="Corbel" w:hAnsi="Corbel"/>
          <w:sz w:val="20"/>
          <w:szCs w:val="20"/>
        </w:rPr>
        <w:t>6</w:t>
      </w:r>
      <w:r w:rsidR="00F51205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837B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37B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7B43">
        <w:rPr>
          <w:rFonts w:ascii="Corbel" w:hAnsi="Corbel"/>
          <w:szCs w:val="24"/>
        </w:rPr>
        <w:t xml:space="preserve">1. </w:t>
      </w:r>
      <w:r w:rsidR="0085747A" w:rsidRPr="00837B43">
        <w:rPr>
          <w:rFonts w:ascii="Corbel" w:hAnsi="Corbel"/>
          <w:szCs w:val="24"/>
        </w:rPr>
        <w:t xml:space="preserve">Podstawowe </w:t>
      </w:r>
      <w:r w:rsidR="00445970" w:rsidRPr="00837B4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37B43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color w:val="auto"/>
                <w:sz w:val="22"/>
              </w:rPr>
              <w:t>Prawo papierów wartościowych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7B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37B4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37B4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37B43" w:rsidRDefault="00CE04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37B43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>Zakład Prawa Gospodarczego</w:t>
            </w:r>
            <w:r w:rsidR="00CE0422">
              <w:rPr>
                <w:rFonts w:ascii="Corbel" w:hAnsi="Corbel"/>
                <w:b w:val="0"/>
                <w:color w:val="auto"/>
                <w:sz w:val="22"/>
              </w:rPr>
              <w:t xml:space="preserve"> / </w:t>
            </w:r>
            <w:r w:rsidR="00CE0422" w:rsidRPr="00CE0422">
              <w:rPr>
                <w:rFonts w:ascii="Corbel" w:hAnsi="Corbel"/>
                <w:b w:val="0"/>
                <w:color w:val="auto"/>
                <w:sz w:val="22"/>
              </w:rPr>
              <w:t>Instytut Nauk Prawnych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37B43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37B43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37B43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37B43" w:rsidRDefault="004909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0E2FD7" w:rsidRPr="00837B43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7B43">
              <w:rPr>
                <w:rFonts w:ascii="Corbel" w:hAnsi="Corbel"/>
                <w:sz w:val="24"/>
                <w:szCs w:val="24"/>
              </w:rPr>
              <w:t>/y</w:t>
            </w:r>
            <w:r w:rsidRPr="00837B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37B43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="00C81AC6" w:rsidRPr="00837B43">
              <w:rPr>
                <w:rFonts w:ascii="Corbel" w:hAnsi="Corbel"/>
                <w:b w:val="0"/>
              </w:rPr>
              <w:t>V</w:t>
            </w:r>
            <w:r w:rsidRPr="00837B43">
              <w:rPr>
                <w:rFonts w:ascii="Corbel" w:hAnsi="Corbel"/>
                <w:b w:val="0"/>
                <w:color w:val="auto"/>
                <w:sz w:val="22"/>
              </w:rPr>
              <w:t xml:space="preserve">, semestr </w:t>
            </w:r>
            <w:r w:rsidR="00E3776A" w:rsidRPr="00837B43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85747A" w:rsidRPr="00837B43" w:rsidTr="00B819C8">
        <w:tc>
          <w:tcPr>
            <w:tcW w:w="2694" w:type="dxa"/>
            <w:vAlign w:val="center"/>
          </w:tcPr>
          <w:p w:rsidR="0085747A" w:rsidRPr="00837B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37B43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837B43" w:rsidTr="00B819C8">
        <w:tc>
          <w:tcPr>
            <w:tcW w:w="2694" w:type="dxa"/>
            <w:vAlign w:val="center"/>
          </w:tcPr>
          <w:p w:rsidR="00923D7D" w:rsidRPr="00837B4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37B43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5747A" w:rsidRPr="00F51205" w:rsidTr="00B819C8">
        <w:tc>
          <w:tcPr>
            <w:tcW w:w="2694" w:type="dxa"/>
            <w:vAlign w:val="center"/>
          </w:tcPr>
          <w:p w:rsidR="0085747A" w:rsidRPr="00837B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37B43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37B43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837B43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3D020C" w:rsidRPr="00F51205" w:rsidTr="00B819C8">
        <w:tc>
          <w:tcPr>
            <w:tcW w:w="2694" w:type="dxa"/>
            <w:vAlign w:val="center"/>
          </w:tcPr>
          <w:p w:rsidR="003D020C" w:rsidRPr="00837B43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837B43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37B43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837B43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85747A" w:rsidRPr="00837B4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7B43">
        <w:rPr>
          <w:rFonts w:ascii="Corbel" w:hAnsi="Corbel"/>
          <w:sz w:val="24"/>
          <w:szCs w:val="24"/>
        </w:rPr>
        <w:t xml:space="preserve">* </w:t>
      </w:r>
      <w:r w:rsidRPr="00837B43">
        <w:rPr>
          <w:rFonts w:ascii="Corbel" w:hAnsi="Corbel"/>
          <w:i/>
          <w:sz w:val="24"/>
          <w:szCs w:val="24"/>
        </w:rPr>
        <w:t>-</w:t>
      </w:r>
      <w:r w:rsidR="00B90885" w:rsidRPr="00837B4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7B43">
        <w:rPr>
          <w:rFonts w:ascii="Corbel" w:hAnsi="Corbel"/>
          <w:b w:val="0"/>
          <w:sz w:val="24"/>
          <w:szCs w:val="24"/>
        </w:rPr>
        <w:t>e,</w:t>
      </w:r>
      <w:r w:rsidRPr="00837B43">
        <w:rPr>
          <w:rFonts w:ascii="Corbel" w:hAnsi="Corbel"/>
          <w:i/>
          <w:sz w:val="24"/>
          <w:szCs w:val="24"/>
        </w:rPr>
        <w:t xml:space="preserve"> </w:t>
      </w:r>
      <w:r w:rsidRPr="00837B4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7B4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37B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37B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7B43">
        <w:rPr>
          <w:rFonts w:ascii="Corbel" w:hAnsi="Corbel"/>
          <w:sz w:val="24"/>
          <w:szCs w:val="24"/>
        </w:rPr>
        <w:t>1.</w:t>
      </w:r>
      <w:r w:rsidR="00E22FBC" w:rsidRPr="00837B43">
        <w:rPr>
          <w:rFonts w:ascii="Corbel" w:hAnsi="Corbel"/>
          <w:sz w:val="24"/>
          <w:szCs w:val="24"/>
        </w:rPr>
        <w:t>1</w:t>
      </w:r>
      <w:r w:rsidRPr="00837B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37B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7B4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7B43">
              <w:rPr>
                <w:rFonts w:ascii="Corbel" w:hAnsi="Corbel"/>
                <w:szCs w:val="24"/>
              </w:rPr>
              <w:t>Semestr</w:t>
            </w:r>
          </w:p>
          <w:p w:rsidR="00015B8F" w:rsidRPr="00837B4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7B43">
              <w:rPr>
                <w:rFonts w:ascii="Corbel" w:hAnsi="Corbel"/>
                <w:szCs w:val="24"/>
              </w:rPr>
              <w:t>(</w:t>
            </w:r>
            <w:r w:rsidR="00363F78" w:rsidRPr="00837B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7B43">
              <w:rPr>
                <w:rFonts w:ascii="Corbel" w:hAnsi="Corbel"/>
                <w:szCs w:val="24"/>
              </w:rPr>
              <w:t>Wykł</w:t>
            </w:r>
            <w:proofErr w:type="spellEnd"/>
            <w:r w:rsidRPr="00837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7B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7B43">
              <w:rPr>
                <w:rFonts w:ascii="Corbel" w:hAnsi="Corbel"/>
                <w:szCs w:val="24"/>
              </w:rPr>
              <w:t>Konw</w:t>
            </w:r>
            <w:proofErr w:type="spellEnd"/>
            <w:r w:rsidRPr="00837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7B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7B43">
              <w:rPr>
                <w:rFonts w:ascii="Corbel" w:hAnsi="Corbel"/>
                <w:szCs w:val="24"/>
              </w:rPr>
              <w:t>Sem</w:t>
            </w:r>
            <w:proofErr w:type="spellEnd"/>
            <w:r w:rsidRPr="00837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7B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7B43">
              <w:rPr>
                <w:rFonts w:ascii="Corbel" w:hAnsi="Corbel"/>
                <w:szCs w:val="24"/>
              </w:rPr>
              <w:t>Prakt</w:t>
            </w:r>
            <w:proofErr w:type="spellEnd"/>
            <w:r w:rsidRPr="00837B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7B4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7B4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7B43">
              <w:rPr>
                <w:rFonts w:ascii="Corbel" w:hAnsi="Corbel"/>
                <w:b/>
                <w:szCs w:val="24"/>
              </w:rPr>
              <w:t>Liczba pkt</w:t>
            </w:r>
            <w:r w:rsidR="00B90885" w:rsidRPr="00837B43">
              <w:rPr>
                <w:rFonts w:ascii="Corbel" w:hAnsi="Corbel"/>
                <w:b/>
                <w:szCs w:val="24"/>
              </w:rPr>
              <w:t>.</w:t>
            </w:r>
            <w:r w:rsidRPr="00837B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7B4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37B43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837B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7B43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837B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37B4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37B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>1.</w:t>
      </w:r>
      <w:r w:rsidR="00E22FBC" w:rsidRPr="00837B43">
        <w:rPr>
          <w:rFonts w:ascii="Corbel" w:hAnsi="Corbel"/>
          <w:smallCaps w:val="0"/>
          <w:szCs w:val="24"/>
        </w:rPr>
        <w:t>2</w:t>
      </w:r>
      <w:r w:rsidR="00F83B28" w:rsidRPr="00837B43">
        <w:rPr>
          <w:rFonts w:ascii="Corbel" w:hAnsi="Corbel"/>
          <w:smallCaps w:val="0"/>
          <w:szCs w:val="24"/>
        </w:rPr>
        <w:t>.</w:t>
      </w:r>
      <w:r w:rsidR="00F83B28" w:rsidRPr="00837B43">
        <w:rPr>
          <w:rFonts w:ascii="Corbel" w:hAnsi="Corbel"/>
          <w:smallCaps w:val="0"/>
          <w:szCs w:val="24"/>
        </w:rPr>
        <w:tab/>
      </w:r>
      <w:r w:rsidRPr="00837B4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37B43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7B43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837B4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837B4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7B43">
        <w:rPr>
          <w:rFonts w:ascii="Segoe UI Symbol" w:eastAsia="MS Gothic" w:hAnsi="Segoe UI Symbol" w:cs="Segoe UI Symbol"/>
          <w:b w:val="0"/>
          <w:szCs w:val="24"/>
        </w:rPr>
        <w:t>☐</w:t>
      </w:r>
      <w:r w:rsidRPr="00837B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37B4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37B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 xml:space="preserve">1.3 </w:t>
      </w:r>
      <w:r w:rsidR="00F83B28" w:rsidRPr="00837B43">
        <w:rPr>
          <w:rFonts w:ascii="Corbel" w:hAnsi="Corbel"/>
          <w:smallCaps w:val="0"/>
          <w:szCs w:val="24"/>
        </w:rPr>
        <w:tab/>
      </w:r>
      <w:r w:rsidRPr="00837B43">
        <w:rPr>
          <w:rFonts w:ascii="Corbel" w:hAnsi="Corbel"/>
          <w:smallCaps w:val="0"/>
          <w:szCs w:val="24"/>
        </w:rPr>
        <w:t>For</w:t>
      </w:r>
      <w:r w:rsidR="00445970" w:rsidRPr="00837B43">
        <w:rPr>
          <w:rFonts w:ascii="Corbel" w:hAnsi="Corbel"/>
          <w:smallCaps w:val="0"/>
          <w:szCs w:val="24"/>
        </w:rPr>
        <w:t xml:space="preserve">ma zaliczenia przedmiotu </w:t>
      </w:r>
      <w:r w:rsidRPr="00837B43">
        <w:rPr>
          <w:rFonts w:ascii="Corbel" w:hAnsi="Corbel"/>
          <w:smallCaps w:val="0"/>
          <w:szCs w:val="24"/>
        </w:rPr>
        <w:t xml:space="preserve">(z toku) </w:t>
      </w:r>
      <w:r w:rsidR="00C81AC6" w:rsidRPr="00837B43">
        <w:rPr>
          <w:rFonts w:ascii="Corbel" w:hAnsi="Corbel"/>
          <w:b w:val="0"/>
          <w:smallCaps w:val="0"/>
          <w:szCs w:val="24"/>
        </w:rPr>
        <w:t>zaliczenie na ocenę</w:t>
      </w:r>
    </w:p>
    <w:p w:rsidR="00837B43" w:rsidRPr="00837B43" w:rsidRDefault="00837B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37B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7B43">
        <w:rPr>
          <w:rFonts w:ascii="Corbel" w:hAnsi="Corbel"/>
          <w:szCs w:val="24"/>
        </w:rPr>
        <w:t xml:space="preserve">2.Wymagania wstępne </w:t>
      </w:r>
    </w:p>
    <w:p w:rsidR="00837B43" w:rsidRPr="00837B43" w:rsidRDefault="00837B4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7B43" w:rsidTr="00745302">
        <w:tc>
          <w:tcPr>
            <w:tcW w:w="9670" w:type="dxa"/>
          </w:tcPr>
          <w:p w:rsidR="0085747A" w:rsidRPr="00837B43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37B43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instytucji prawa administracyjnego oraz cywilnego</w:t>
            </w:r>
          </w:p>
        </w:tc>
      </w:tr>
    </w:tbl>
    <w:p w:rsidR="00153C41" w:rsidRPr="00837B4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37B43" w:rsidRDefault="00837B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7B43">
        <w:rPr>
          <w:rFonts w:ascii="Corbel" w:hAnsi="Corbel"/>
          <w:szCs w:val="24"/>
        </w:rPr>
        <w:br w:type="column"/>
      </w:r>
      <w:r w:rsidR="0071620A" w:rsidRPr="00837B43">
        <w:rPr>
          <w:rFonts w:ascii="Corbel" w:hAnsi="Corbel"/>
          <w:szCs w:val="24"/>
        </w:rPr>
        <w:lastRenderedPageBreak/>
        <w:t>3.</w:t>
      </w:r>
      <w:r w:rsidR="0085747A" w:rsidRPr="00837B43">
        <w:rPr>
          <w:rFonts w:ascii="Corbel" w:hAnsi="Corbel"/>
          <w:szCs w:val="24"/>
        </w:rPr>
        <w:t xml:space="preserve"> </w:t>
      </w:r>
      <w:r w:rsidR="00A84C85" w:rsidRPr="00837B43">
        <w:rPr>
          <w:rFonts w:ascii="Corbel" w:hAnsi="Corbel"/>
          <w:szCs w:val="24"/>
        </w:rPr>
        <w:t xml:space="preserve">cele, efekty uczenia </w:t>
      </w:r>
      <w:r w:rsidR="00C81AC6" w:rsidRPr="00837B43">
        <w:rPr>
          <w:rFonts w:ascii="Corbel" w:hAnsi="Corbel"/>
          <w:szCs w:val="24"/>
        </w:rPr>
        <w:t>SIĘ,</w:t>
      </w:r>
      <w:r w:rsidR="0085747A" w:rsidRPr="00837B43">
        <w:rPr>
          <w:rFonts w:ascii="Corbel" w:hAnsi="Corbel"/>
          <w:szCs w:val="24"/>
        </w:rPr>
        <w:t xml:space="preserve"> treści Programowe i stosowane metody Dydaktyczne</w:t>
      </w:r>
    </w:p>
    <w:p w:rsidR="0085747A" w:rsidRPr="00837B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37B4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7B43">
        <w:rPr>
          <w:rFonts w:ascii="Corbel" w:hAnsi="Corbel"/>
          <w:sz w:val="24"/>
          <w:szCs w:val="24"/>
        </w:rPr>
        <w:t xml:space="preserve">3.1 </w:t>
      </w:r>
      <w:r w:rsidR="00C05F44" w:rsidRPr="00837B43">
        <w:rPr>
          <w:rFonts w:ascii="Corbel" w:hAnsi="Corbel"/>
          <w:sz w:val="24"/>
          <w:szCs w:val="24"/>
        </w:rPr>
        <w:t>Cele przedmiotu</w:t>
      </w:r>
    </w:p>
    <w:p w:rsidR="00F83B28" w:rsidRPr="00837B4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37B43" w:rsidTr="00923D7D">
        <w:tc>
          <w:tcPr>
            <w:tcW w:w="851" w:type="dxa"/>
            <w:vAlign w:val="center"/>
          </w:tcPr>
          <w:p w:rsidR="0085747A" w:rsidRPr="00837B4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7B4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837B43" w:rsidRDefault="00E3776A" w:rsidP="00E3776A">
            <w:pPr>
              <w:pStyle w:val="NormalnyWeb"/>
              <w:shd w:val="clear" w:color="auto" w:fill="FFFFFF"/>
              <w:jc w:val="both"/>
              <w:rPr>
                <w:rFonts w:ascii="Corbel" w:hAnsi="Corbel"/>
              </w:rPr>
            </w:pPr>
            <w:r w:rsidRPr="00837B43">
              <w:rPr>
                <w:rFonts w:ascii="Corbel" w:hAnsi="Corbel"/>
                <w:sz w:val="22"/>
                <w:szCs w:val="22"/>
              </w:rPr>
              <w:t xml:space="preserve">Wykład </w:t>
            </w:r>
            <w:r w:rsidR="00837B43" w:rsidRPr="00837B43">
              <w:rPr>
                <w:rFonts w:ascii="Corbel" w:hAnsi="Corbel"/>
                <w:sz w:val="22"/>
                <w:szCs w:val="22"/>
              </w:rPr>
              <w:t xml:space="preserve">konwersatoryjny </w:t>
            </w:r>
            <w:r w:rsidRPr="00837B43">
              <w:rPr>
                <w:rFonts w:ascii="Corbel" w:hAnsi="Corbel"/>
                <w:sz w:val="22"/>
                <w:szCs w:val="22"/>
              </w:rPr>
              <w:t xml:space="preserve">prezentuje teoretyczną i praktyczną wiedzę z prawa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rynków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kapitałowych.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Podjęta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tematyka omawia powszechnie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dostępne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instrumenty finansowe,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dając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możliwośc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́ prowadzenia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ożywionej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dyskusji w zakresie prawnych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instrumentów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dostępnych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podmiotom stosunku cywilnoprawnego. Przedstawione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zostana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̨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równiez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̇ organy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regulujące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rynek kapitałowy </w:t>
            </w:r>
            <w:proofErr w:type="spellStart"/>
            <w:r w:rsidRPr="00837B43">
              <w:rPr>
                <w:rFonts w:ascii="Corbel" w:hAnsi="Corbel"/>
                <w:sz w:val="22"/>
                <w:szCs w:val="22"/>
              </w:rPr>
              <w:t>posiadające</w:t>
            </w:r>
            <w:proofErr w:type="spellEnd"/>
            <w:r w:rsidRPr="00837B43">
              <w:rPr>
                <w:rFonts w:ascii="Corbel" w:hAnsi="Corbel"/>
                <w:sz w:val="22"/>
                <w:szCs w:val="22"/>
              </w:rPr>
              <w:t xml:space="preserve"> kompetencje nadzorcze i kontrolne </w:t>
            </w:r>
          </w:p>
        </w:tc>
      </w:tr>
    </w:tbl>
    <w:p w:rsidR="004E7F15" w:rsidRDefault="004E7F1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837B4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7B43">
        <w:rPr>
          <w:rFonts w:ascii="Corbel" w:hAnsi="Corbel"/>
          <w:b/>
          <w:sz w:val="24"/>
          <w:szCs w:val="24"/>
        </w:rPr>
        <w:t xml:space="preserve">3.2 </w:t>
      </w:r>
      <w:r w:rsidR="001D7B54" w:rsidRPr="00837B43">
        <w:rPr>
          <w:rFonts w:ascii="Corbel" w:hAnsi="Corbel"/>
          <w:b/>
          <w:sz w:val="24"/>
          <w:szCs w:val="24"/>
        </w:rPr>
        <w:t xml:space="preserve">Efekty </w:t>
      </w:r>
      <w:r w:rsidR="00C05F44" w:rsidRPr="00837B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7B43">
        <w:rPr>
          <w:rFonts w:ascii="Corbel" w:hAnsi="Corbel"/>
          <w:b/>
          <w:sz w:val="24"/>
          <w:szCs w:val="24"/>
        </w:rPr>
        <w:t>dla przedmiotu</w:t>
      </w:r>
      <w:r w:rsidR="00445970" w:rsidRPr="00837B43">
        <w:rPr>
          <w:rFonts w:ascii="Corbel" w:hAnsi="Corbel"/>
          <w:sz w:val="24"/>
          <w:szCs w:val="24"/>
        </w:rPr>
        <w:t xml:space="preserve"> </w:t>
      </w:r>
    </w:p>
    <w:p w:rsidR="001D7B54" w:rsidRPr="00837B4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5652"/>
        <w:gridCol w:w="2247"/>
      </w:tblGrid>
      <w:tr w:rsidR="0085747A" w:rsidRPr="00837B43" w:rsidTr="008C5CFD">
        <w:tc>
          <w:tcPr>
            <w:tcW w:w="1650" w:type="dxa"/>
            <w:vAlign w:val="center"/>
          </w:tcPr>
          <w:p w:rsidR="0085747A" w:rsidRPr="00837B43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7B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7B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20" w:type="dxa"/>
            <w:vAlign w:val="center"/>
          </w:tcPr>
          <w:p w:rsidR="0085747A" w:rsidRPr="00837B43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:rsidR="0085747A" w:rsidRPr="00837B43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837B4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7B43" w:rsidTr="008C5CFD">
        <w:tc>
          <w:tcPr>
            <w:tcW w:w="1650" w:type="dxa"/>
          </w:tcPr>
          <w:p w:rsidR="0085747A" w:rsidRPr="00837B43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7B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20" w:type="dxa"/>
          </w:tcPr>
          <w:p w:rsidR="0085747A" w:rsidRPr="00837B43" w:rsidRDefault="008C5CFD" w:rsidP="003C06AE">
            <w:pPr>
              <w:pStyle w:val="NormalnyWeb"/>
              <w:shd w:val="clear" w:color="auto" w:fill="FFFFFF"/>
              <w:jc w:val="both"/>
              <w:rPr>
                <w:rFonts w:ascii="Corbel" w:hAnsi="Corbel"/>
              </w:rPr>
            </w:pPr>
            <w:r w:rsidRPr="00837B43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>definiuje podstawowe pojęcia prawa papierów wartościowych. Potrafi wskazać instrumenty inwestycyjne, wskazać potencjalne korzyści i ryzyka. potrafi omówić działalność organów administracji publicznej dokonujące nadzoru rynku</w:t>
            </w:r>
          </w:p>
        </w:tc>
        <w:tc>
          <w:tcPr>
            <w:tcW w:w="2276" w:type="dxa"/>
          </w:tcPr>
          <w:p w:rsidR="0085747A" w:rsidRPr="00837B43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837B43" w:rsidTr="008C5CFD">
        <w:tc>
          <w:tcPr>
            <w:tcW w:w="1650" w:type="dxa"/>
          </w:tcPr>
          <w:p w:rsidR="0085747A" w:rsidRPr="00837B43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20" w:type="dxa"/>
          </w:tcPr>
          <w:p w:rsidR="0085747A" w:rsidRPr="00837B43" w:rsidRDefault="008C5CFD" w:rsidP="003C06AE">
            <w:pPr>
              <w:pStyle w:val="NormalnyWeb"/>
              <w:shd w:val="clear" w:color="auto" w:fill="FFFFFF"/>
              <w:jc w:val="both"/>
              <w:rPr>
                <w:rFonts w:ascii="Corbel" w:hAnsi="Corbel"/>
              </w:rPr>
            </w:pPr>
            <w:r w:rsidRPr="00837B43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 xml:space="preserve">ma uporządkowaną wiedzę na temat prawa papierów wartościowych. Potrafi wskazać działania zagrażające inwestycjom. Wykazuje się wiedzą w zakresie zasad </w:t>
            </w:r>
            <w:r w:rsidR="00C05DF5" w:rsidRPr="00837B43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>przeciwdziałania ryzykom inwestycyjnym. Definiuje zadania organów nadzoru, wskazuje instrumenty ochrony prawnej uczestników rynku</w:t>
            </w:r>
          </w:p>
        </w:tc>
        <w:tc>
          <w:tcPr>
            <w:tcW w:w="2276" w:type="dxa"/>
          </w:tcPr>
          <w:p w:rsidR="0085747A" w:rsidRPr="00837B43" w:rsidRDefault="008C5CFD" w:rsidP="00E3776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85747A" w:rsidRPr="00837B43" w:rsidTr="008C5CFD">
        <w:tc>
          <w:tcPr>
            <w:tcW w:w="1650" w:type="dxa"/>
          </w:tcPr>
          <w:p w:rsidR="0085747A" w:rsidRPr="004E7F15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7F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20" w:type="dxa"/>
          </w:tcPr>
          <w:p w:rsidR="0085747A" w:rsidRPr="00837B43" w:rsidRDefault="008C5CFD" w:rsidP="003C06AE">
            <w:pPr>
              <w:pStyle w:val="NormalnyWeb"/>
              <w:shd w:val="clear" w:color="auto" w:fill="FFFFFF"/>
              <w:jc w:val="both"/>
              <w:rPr>
                <w:rFonts w:ascii="Corbel" w:hAnsi="Corbel"/>
              </w:rPr>
            </w:pPr>
            <w:r w:rsidRPr="00837B43">
              <w:rPr>
                <w:rFonts w:ascii="Corbel" w:hAnsi="Corbel"/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interpretowania. Dokonuje pogłębionej analizy decyzji organów regulacyjnych i kontrolnych</w:t>
            </w:r>
          </w:p>
        </w:tc>
        <w:tc>
          <w:tcPr>
            <w:tcW w:w="2276" w:type="dxa"/>
          </w:tcPr>
          <w:p w:rsidR="0085747A" w:rsidRPr="00837B43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8C5CFD" w:rsidRPr="00837B43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0" w:type="dxa"/>
          </w:tcPr>
          <w:p w:rsidR="008C5CFD" w:rsidRPr="004E7F15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F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20" w:type="dxa"/>
          </w:tcPr>
          <w:p w:rsidR="008C5CFD" w:rsidRPr="00837B43" w:rsidRDefault="008C5CFD" w:rsidP="008C5CF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37B43">
              <w:rPr>
                <w:rFonts w:ascii="Corbel" w:hAnsi="Corbel"/>
                <w:smallCaps/>
                <w:color w:val="000000"/>
                <w:u w:color="000000"/>
              </w:rPr>
              <w:t>potrafi wykorzystywać i integrować wiedzę z zakresu prawa papierów wartościowych w celu analizy złożonych problemów. Wypowiada się na tematy związane z bieżącą sytuacją prawną prawa rynków kapitałowych, bieżącej sytuacji rynkowej</w:t>
            </w:r>
          </w:p>
        </w:tc>
        <w:tc>
          <w:tcPr>
            <w:tcW w:w="2276" w:type="dxa"/>
          </w:tcPr>
          <w:p w:rsidR="008C5CFD" w:rsidRPr="00837B43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837B43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8C5CFD" w:rsidRPr="00837B43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0" w:type="dxa"/>
          </w:tcPr>
          <w:p w:rsidR="008C5CFD" w:rsidRPr="004E7F15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7F1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8C5CFD" w:rsidRPr="004E7F15" w:rsidRDefault="008C5CFD" w:rsidP="008C5CFD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820" w:type="dxa"/>
          </w:tcPr>
          <w:p w:rsidR="008C5CFD" w:rsidRPr="00837B43" w:rsidRDefault="008C5CFD" w:rsidP="008C5CF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37B43">
              <w:rPr>
                <w:rFonts w:ascii="Corbel" w:hAnsi="Corbel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zagadnień prawa papierów wartościowych</w:t>
            </w:r>
          </w:p>
        </w:tc>
        <w:tc>
          <w:tcPr>
            <w:tcW w:w="2276" w:type="dxa"/>
          </w:tcPr>
          <w:p w:rsidR="008C5CFD" w:rsidRPr="00837B43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z w:val="22"/>
              </w:rPr>
              <w:t>K_U04, K_</w:t>
            </w:r>
            <w:r w:rsidR="00837B43" w:rsidRPr="00837B43">
              <w:rPr>
                <w:rFonts w:ascii="Corbel" w:hAnsi="Corbel"/>
                <w:b w:val="0"/>
                <w:sz w:val="22"/>
              </w:rPr>
              <w:t>U</w:t>
            </w:r>
            <w:r w:rsidRPr="00837B43">
              <w:rPr>
                <w:rFonts w:ascii="Corbel" w:hAnsi="Corbel"/>
                <w:b w:val="0"/>
                <w:sz w:val="22"/>
              </w:rPr>
              <w:t>08, K_U08, K_U10, K_U12, K_U17, K_K06, K_K07, K_K10</w:t>
            </w:r>
          </w:p>
        </w:tc>
      </w:tr>
      <w:tr w:rsidR="008C5CFD" w:rsidRPr="00837B43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:rsidR="008C5CFD" w:rsidRPr="004E7F15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7F1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20" w:type="dxa"/>
          </w:tcPr>
          <w:p w:rsidR="008C5CFD" w:rsidRPr="00837B43" w:rsidRDefault="008C5CFD" w:rsidP="00C05DF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37B43">
              <w:rPr>
                <w:rFonts w:ascii="Corbel" w:hAnsi="Corbel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:rsidR="008C5CFD" w:rsidRPr="00837B43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37B43">
              <w:rPr>
                <w:rFonts w:ascii="Corbel" w:hAnsi="Corbel"/>
                <w:bCs/>
              </w:rPr>
              <w:t>K_K05, K_U12, K_K07, K_K10</w:t>
            </w:r>
          </w:p>
        </w:tc>
      </w:tr>
      <w:tr w:rsidR="008C5CFD" w:rsidRPr="00837B43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:rsidR="008C5CFD" w:rsidRPr="004E7F15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7F1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20" w:type="dxa"/>
          </w:tcPr>
          <w:p w:rsidR="008C5CFD" w:rsidRPr="00837B43" w:rsidRDefault="008C5CFD" w:rsidP="008C5C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:rsidR="008C5CFD" w:rsidRPr="00837B43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37B43">
              <w:rPr>
                <w:rFonts w:ascii="Corbel" w:hAnsi="Corbel"/>
                <w:bCs/>
              </w:rPr>
              <w:t>K_K05, K_K06</w:t>
            </w:r>
          </w:p>
        </w:tc>
      </w:tr>
    </w:tbl>
    <w:p w:rsidR="00837B43" w:rsidRPr="00837B43" w:rsidRDefault="00837B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837B43" w:rsidRDefault="00837B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37B43">
        <w:rPr>
          <w:rFonts w:ascii="Corbel" w:hAnsi="Corbel"/>
          <w:b/>
          <w:sz w:val="24"/>
          <w:szCs w:val="24"/>
        </w:rPr>
        <w:br w:type="column"/>
      </w:r>
      <w:r w:rsidR="00675843" w:rsidRPr="00837B43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37B43">
        <w:rPr>
          <w:rFonts w:ascii="Corbel" w:hAnsi="Corbel"/>
          <w:b/>
          <w:sz w:val="24"/>
          <w:szCs w:val="24"/>
        </w:rPr>
        <w:t xml:space="preserve"> </w:t>
      </w:r>
      <w:r w:rsidR="0085747A" w:rsidRPr="00837B43">
        <w:rPr>
          <w:rFonts w:ascii="Corbel" w:hAnsi="Corbel"/>
          <w:b/>
          <w:sz w:val="24"/>
          <w:szCs w:val="24"/>
        </w:rPr>
        <w:t>T</w:t>
      </w:r>
      <w:r w:rsidR="001D7B54" w:rsidRPr="00837B4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37B43">
        <w:rPr>
          <w:rFonts w:ascii="Corbel" w:hAnsi="Corbel"/>
          <w:sz w:val="24"/>
          <w:szCs w:val="24"/>
        </w:rPr>
        <w:t xml:space="preserve">  </w:t>
      </w:r>
    </w:p>
    <w:p w:rsidR="0085747A" w:rsidRPr="00837B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7B43">
        <w:rPr>
          <w:rFonts w:ascii="Corbel" w:hAnsi="Corbel"/>
          <w:sz w:val="24"/>
          <w:szCs w:val="24"/>
        </w:rPr>
        <w:t xml:space="preserve">Problematyka wykładu </w:t>
      </w:r>
    </w:p>
    <w:p w:rsidR="00837B43" w:rsidRPr="00837B43" w:rsidRDefault="00837B43" w:rsidP="00837B43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837B4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75843" w:rsidRPr="00837B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837B43" w:rsidTr="003D020C">
        <w:trPr>
          <w:trHeight w:val="85"/>
        </w:trPr>
        <w:tc>
          <w:tcPr>
            <w:tcW w:w="8502" w:type="dxa"/>
          </w:tcPr>
          <w:p w:rsidR="0085747A" w:rsidRPr="00837B43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837B43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837B43" w:rsidTr="003D020C">
        <w:trPr>
          <w:trHeight w:val="85"/>
        </w:trPr>
        <w:tc>
          <w:tcPr>
            <w:tcW w:w="8502" w:type="dxa"/>
          </w:tcPr>
          <w:p w:rsidR="00E3776A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Ogólna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charakterystyka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w zakresie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źródeł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prawa,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pojęc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́, funkcji i praktycznego zastosowania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następujących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instrumentów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finansowych: </w:t>
            </w:r>
            <w:r w:rsidR="00E3776A" w:rsidRPr="00837B43">
              <w:rPr>
                <w:rFonts w:ascii="Corbel" w:hAnsi="Corbel"/>
                <w:sz w:val="20"/>
                <w:szCs w:val="20"/>
              </w:rPr>
              <w:t xml:space="preserve">a) Weksla, b) Czeku, c) Akcji, d) Obligacji, e) </w:t>
            </w:r>
            <w:proofErr w:type="spellStart"/>
            <w:r w:rsidR="00E3776A" w:rsidRPr="00837B43">
              <w:rPr>
                <w:rFonts w:ascii="Corbel" w:hAnsi="Corbel"/>
                <w:sz w:val="20"/>
                <w:szCs w:val="20"/>
              </w:rPr>
              <w:t>Bonów</w:t>
            </w:r>
            <w:proofErr w:type="spellEnd"/>
            <w:r w:rsidR="00E3776A" w:rsidRPr="00837B43">
              <w:rPr>
                <w:rFonts w:ascii="Corbel" w:hAnsi="Corbel"/>
                <w:sz w:val="20"/>
                <w:szCs w:val="20"/>
              </w:rPr>
              <w:t xml:space="preserve"> komercyjnych, f) Konosamentu, g) Bankowych </w:t>
            </w:r>
            <w:proofErr w:type="spellStart"/>
            <w:r w:rsidR="00E3776A"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E3776A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E3776A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E3776A" w:rsidRPr="00837B43">
              <w:rPr>
                <w:rFonts w:ascii="Corbel" w:hAnsi="Corbel"/>
                <w:sz w:val="20"/>
                <w:szCs w:val="20"/>
              </w:rPr>
              <w:t xml:space="preserve">, h) </w:t>
            </w:r>
            <w:proofErr w:type="spellStart"/>
            <w:r w:rsidR="00E3776A" w:rsidRPr="00837B43">
              <w:rPr>
                <w:rFonts w:ascii="Corbel" w:hAnsi="Corbel"/>
                <w:sz w:val="20"/>
                <w:szCs w:val="20"/>
              </w:rPr>
              <w:t>Kwitów</w:t>
            </w:r>
            <w:proofErr w:type="spellEnd"/>
            <w:r w:rsidR="00E3776A" w:rsidRPr="00837B43">
              <w:rPr>
                <w:rFonts w:ascii="Corbel" w:hAnsi="Corbel"/>
                <w:sz w:val="20"/>
                <w:szCs w:val="20"/>
              </w:rPr>
              <w:t xml:space="preserve"> depozytowych, i) </w:t>
            </w:r>
            <w:proofErr w:type="spellStart"/>
            <w:r w:rsidR="00E3776A" w:rsidRPr="00837B43">
              <w:rPr>
                <w:rFonts w:ascii="Corbel" w:hAnsi="Corbel"/>
                <w:sz w:val="20"/>
                <w:szCs w:val="20"/>
              </w:rPr>
              <w:t>Listów</w:t>
            </w:r>
            <w:proofErr w:type="spellEnd"/>
            <w:r w:rsidR="00E3776A" w:rsidRPr="00837B43">
              <w:rPr>
                <w:rFonts w:ascii="Corbel" w:hAnsi="Corbel"/>
                <w:sz w:val="20"/>
                <w:szCs w:val="20"/>
              </w:rPr>
              <w:t xml:space="preserve"> zastawnych, j) </w:t>
            </w:r>
            <w:proofErr w:type="spellStart"/>
            <w:r w:rsidR="00E3776A" w:rsidRPr="00837B43">
              <w:rPr>
                <w:rFonts w:ascii="Corbel" w:hAnsi="Corbel"/>
                <w:sz w:val="20"/>
                <w:szCs w:val="20"/>
              </w:rPr>
              <w:t>Znaków</w:t>
            </w:r>
            <w:proofErr w:type="spellEnd"/>
            <w:r w:rsidR="00E3776A" w:rsidRPr="00837B43">
              <w:rPr>
                <w:rFonts w:ascii="Corbel" w:hAnsi="Corbel"/>
                <w:sz w:val="20"/>
                <w:szCs w:val="20"/>
              </w:rPr>
              <w:t xml:space="preserve"> legitymacyjnych, k) Dowodu składowego jako znaku legitymacyjnego, l) Przekazu, m) Pochodnych transakcji terminowych</w:t>
            </w:r>
          </w:p>
        </w:tc>
      </w:tr>
      <w:tr w:rsidR="0085747A" w:rsidRPr="00837B43" w:rsidTr="003D020C">
        <w:trPr>
          <w:trHeight w:val="85"/>
        </w:trPr>
        <w:tc>
          <w:tcPr>
            <w:tcW w:w="8502" w:type="dxa"/>
          </w:tcPr>
          <w:p w:rsidR="0020055A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II</w:t>
            </w:r>
            <w:r w:rsidR="0020055A" w:rsidRPr="00837B43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Instytucje rynku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: </w:t>
            </w:r>
          </w:p>
          <w:p w:rsidR="00C81AC6" w:rsidRPr="00837B43" w:rsidRDefault="00E3776A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Ogólne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informacje i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z rynkiem kapitałowym: a) Podział rynku finansowego</w:t>
            </w:r>
            <w:r w:rsidRPr="00837B43">
              <w:rPr>
                <w:rFonts w:ascii="Corbel" w:hAnsi="Corbel"/>
                <w:sz w:val="20"/>
                <w:szCs w:val="20"/>
              </w:rPr>
              <w:br/>
              <w:t xml:space="preserve">b)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rynku regulowanego</w:t>
            </w:r>
          </w:p>
        </w:tc>
      </w:tr>
      <w:tr w:rsidR="0085747A" w:rsidRPr="00837B43" w:rsidTr="003D020C">
        <w:trPr>
          <w:trHeight w:val="707"/>
        </w:trPr>
        <w:tc>
          <w:tcPr>
            <w:tcW w:w="8502" w:type="dxa"/>
          </w:tcPr>
          <w:p w:rsidR="00C81AC6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III</w:t>
            </w:r>
            <w:r w:rsidR="00C81AC6" w:rsidRPr="00837B43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Publiczny </w:t>
            </w:r>
            <w:proofErr w:type="spellStart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>obrót</w:t>
            </w:r>
            <w:proofErr w:type="spellEnd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papierami </w:t>
            </w:r>
            <w:proofErr w:type="spellStart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>wartościowymi</w:t>
            </w:r>
            <w:proofErr w:type="spellEnd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:rsidR="00616643" w:rsidRPr="00837B43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1. Giełda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- a)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historia i obecny status Giełdy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b) wprowadzenie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na Warszawską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Giełde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c) sesje giełdowe, system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notowan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spółek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d) podstawowe elementy transakcji giełdowej, e) wykluczenie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z obrotu giełdowego, f) strony transakcji giełdowych, g)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wskaźniki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i indeksy giełdowe, </w:t>
            </w:r>
          </w:p>
          <w:p w:rsidR="0020055A" w:rsidRPr="00837B43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2. Giełdy towarowe: a) podstawowe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b) tworzenie i zadania giełdy towarowej, c) członkowie giełdy towarowej, d)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obrót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giełdowy papierami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majątkowymi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działalnośc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maklerów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towarowych, 3. Organy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pośredniczące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na rynku kapitałowym: a) domy maklerskie, b) maklerzy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i doradcy inwestycyjni, c) doradztwo i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zarządzanie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cudzymi pakietami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d) instytucje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z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działalnościa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maklerskich- fundusz gwarancyjny, e) gwarancje bezpiecznego nadzoru </w:t>
            </w:r>
          </w:p>
        </w:tc>
      </w:tr>
      <w:tr w:rsidR="0020055A" w:rsidRPr="00837B43" w:rsidTr="003D020C">
        <w:trPr>
          <w:trHeight w:val="387"/>
        </w:trPr>
        <w:tc>
          <w:tcPr>
            <w:tcW w:w="8502" w:type="dxa"/>
          </w:tcPr>
          <w:p w:rsidR="00616643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IV</w:t>
            </w:r>
            <w:r w:rsidR="0020055A" w:rsidRPr="00837B43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>Ważniejsze</w:t>
            </w:r>
            <w:proofErr w:type="spellEnd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organy </w:t>
            </w:r>
            <w:proofErr w:type="spellStart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>regulujące</w:t>
            </w:r>
            <w:proofErr w:type="spellEnd"/>
            <w:r w:rsidR="00616643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rynek kapitałowy </w:t>
            </w:r>
          </w:p>
          <w:p w:rsidR="00616643" w:rsidRPr="00837B43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1. </w:t>
            </w:r>
            <w:r w:rsidR="00616643" w:rsidRPr="00837B43">
              <w:rPr>
                <w:rFonts w:ascii="Corbel" w:hAnsi="Corbel"/>
                <w:sz w:val="20"/>
                <w:szCs w:val="20"/>
              </w:rPr>
              <w:t xml:space="preserve">Komisja Nadzoru Finansowego: a) status prawny i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główne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zadania, b) skład komisji i jej uchwały, c)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najważniejsze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kompetencje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przewodniczącego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KNF, d)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postępowanie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przed KNF </w:t>
            </w:r>
          </w:p>
          <w:p w:rsidR="00616643" w:rsidRPr="00837B43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2. </w:t>
            </w:r>
            <w:r w:rsidR="00616643" w:rsidRPr="00837B43">
              <w:rPr>
                <w:rFonts w:ascii="Corbel" w:hAnsi="Corbel"/>
                <w:sz w:val="20"/>
                <w:szCs w:val="20"/>
              </w:rPr>
              <w:t xml:space="preserve">Kontrola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zachowan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́ monopolowych dokonywana przez Komisję Nadzoru Finansowego oraz Prezesa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: a) kontrola zamiaru nabycia akcji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powyżej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kwalifikowanych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progów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, b) nabywanie akcji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maklerskich w znacznych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ilościach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, </w:t>
            </w:r>
          </w:p>
          <w:p w:rsidR="00616643" w:rsidRPr="00837B43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3. </w:t>
            </w:r>
            <w:r w:rsidR="00616643" w:rsidRPr="00837B43">
              <w:rPr>
                <w:rFonts w:ascii="Corbel" w:hAnsi="Corbel"/>
                <w:sz w:val="20"/>
                <w:szCs w:val="20"/>
              </w:rPr>
              <w:t xml:space="preserve">Krajowy Depozyt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: a) status prawny, b) uczestnicy Krajowego Depozytu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, c) rejestrowanie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, d) zasady niematerialnej formy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, d) formy uczestnictwa w Krajowym Depozycie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operacje na papierach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dokonywane w Krajowym Depozycie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616643" w:rsidRPr="00837B43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4. </w:t>
            </w:r>
            <w:r w:rsidR="00616643" w:rsidRPr="00837B43">
              <w:rPr>
                <w:rFonts w:ascii="Corbel" w:hAnsi="Corbel"/>
                <w:sz w:val="20"/>
                <w:szCs w:val="20"/>
              </w:rPr>
              <w:t xml:space="preserve">Prezes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: a)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nad towarzystwami i funduszami inwestycyjnymi, b) </w:t>
            </w:r>
            <w:proofErr w:type="spellStart"/>
            <w:r w:rsidR="00616643" w:rsidRPr="00837B43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837B43">
              <w:rPr>
                <w:rFonts w:ascii="Corbel" w:hAnsi="Corbel"/>
                <w:sz w:val="20"/>
                <w:szCs w:val="20"/>
              </w:rPr>
              <w:t xml:space="preserve"> nad towarzystwami i funduszami emerytalnymi </w:t>
            </w:r>
          </w:p>
          <w:p w:rsidR="00616643" w:rsidRPr="00837B43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5. </w:t>
            </w:r>
            <w:r w:rsidR="00616643" w:rsidRPr="00837B43">
              <w:rPr>
                <w:rFonts w:ascii="Corbel" w:hAnsi="Corbel"/>
                <w:sz w:val="20"/>
                <w:szCs w:val="20"/>
              </w:rPr>
              <w:t xml:space="preserve">Depozytariusz w funduszach inwestycyjnych i emerytalnych </w:t>
            </w:r>
          </w:p>
          <w:p w:rsidR="00C81AC6" w:rsidRPr="00837B43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6.Uprawnienia Prezesa Narodowego Banku Polskiego w zakresie obrotu papierami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wartościowymi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20055A" w:rsidRPr="00837B43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3C06AE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V</w:t>
            </w:r>
            <w:r w:rsidR="00851D1C"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Inwestowanie i inwestorzy zbiorowi na rynku </w:t>
            </w:r>
            <w:proofErr w:type="spellStart"/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:rsidR="003C06AE" w:rsidRPr="00837B43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1. Inwestowanie w papiery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wartościowe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: a) ocenianie ryzyka, b) metody minimalizacji ryzyka, c) metody analizy technicznej i fundamentalnej, d) metody analizy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wskaźnikowej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851D1C" w:rsidRPr="00837B43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2. Fundusze inwestycyjne: a)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Ogólna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charakterystyka i podstawowe elementy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ułatwiające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ich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odróżnianie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b) Fundusze inwestycyjne – podstawa prawna, c) Procedura tworzenia towarzystwa funduszy inwestycyjnych, d) Tworzenie funduszy inwestycyjnych, e) Zbywanie jednostek uczestnictwa albo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certyfikatów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f) Fundusz inwestycyjny otwarty, g) Specjalistyczne fundusze inwestycyjne otwarte, h) Fundusze inwestycyjne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zamknięte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i) Inne fundusze inwestycyjne, j) Fundusze inwestycyjne mieszane, k) Ustawowe instrumenty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służące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do zmniejszania ryzyka inwestycyjnego, l) Przekształcenie funduszy, m) Likwidacje funduszy inwestycyjnych, n)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różnice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pomiędzy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inwestycyjnym funduszem otwartym a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zamkniętym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</w:tbl>
    <w:p w:rsidR="0085747A" w:rsidRPr="00837B4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837B43" w:rsidRDefault="00837B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7B43">
        <w:rPr>
          <w:rFonts w:ascii="Corbel" w:hAnsi="Corbel"/>
          <w:b w:val="0"/>
          <w:szCs w:val="24"/>
        </w:rPr>
        <w:br w:type="column"/>
      </w:r>
    </w:p>
    <w:p w:rsidR="0085747A" w:rsidRPr="00837B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>3.4 Metody dydaktyczne</w:t>
      </w:r>
      <w:r w:rsidRPr="00837B4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37B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37B43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37B43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37B43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837B43" w:rsidRPr="00837B43">
        <w:rPr>
          <w:rFonts w:ascii="Corbel" w:hAnsi="Corbel"/>
          <w:b w:val="0"/>
          <w:i/>
          <w:smallCaps w:val="0"/>
          <w:sz w:val="20"/>
          <w:szCs w:val="20"/>
        </w:rPr>
        <w:t xml:space="preserve"> konwersatoryjny, </w:t>
      </w:r>
      <w:r w:rsidR="0085747A" w:rsidRPr="00837B43">
        <w:rPr>
          <w:rFonts w:ascii="Corbel" w:hAnsi="Corbel"/>
          <w:b w:val="0"/>
          <w:i/>
          <w:smallCaps w:val="0"/>
          <w:sz w:val="20"/>
          <w:szCs w:val="20"/>
        </w:rPr>
        <w:t>problemowy</w:t>
      </w:r>
    </w:p>
    <w:p w:rsidR="00E960BB" w:rsidRPr="00837B4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37B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 xml:space="preserve">4. </w:t>
      </w:r>
      <w:r w:rsidR="0085747A" w:rsidRPr="00837B43">
        <w:rPr>
          <w:rFonts w:ascii="Corbel" w:hAnsi="Corbel"/>
          <w:smallCaps w:val="0"/>
          <w:szCs w:val="24"/>
        </w:rPr>
        <w:t>METODY I KRYTERIA OCENY</w:t>
      </w:r>
      <w:r w:rsidR="009F4610" w:rsidRPr="00837B43">
        <w:rPr>
          <w:rFonts w:ascii="Corbel" w:hAnsi="Corbel"/>
          <w:smallCaps w:val="0"/>
          <w:szCs w:val="24"/>
        </w:rPr>
        <w:t xml:space="preserve"> </w:t>
      </w:r>
    </w:p>
    <w:p w:rsidR="00923D7D" w:rsidRPr="00837B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37B4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7B43">
        <w:rPr>
          <w:rFonts w:ascii="Corbel" w:hAnsi="Corbel"/>
          <w:smallCaps w:val="0"/>
          <w:szCs w:val="24"/>
        </w:rPr>
        <w:t>uczenia się</w:t>
      </w:r>
    </w:p>
    <w:p w:rsidR="0085747A" w:rsidRPr="00837B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837B43" w:rsidTr="000D4A1D">
        <w:tc>
          <w:tcPr>
            <w:tcW w:w="1990" w:type="dxa"/>
            <w:vAlign w:val="center"/>
          </w:tcPr>
          <w:p w:rsidR="0085747A" w:rsidRPr="00837B43" w:rsidRDefault="0071620A" w:rsidP="00837B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37B43" w:rsidRDefault="00A84C85" w:rsidP="00837B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37B43" w:rsidRPr="00837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837B43" w:rsidRDefault="009F4610" w:rsidP="00837B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7B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="00923D7D" w:rsidRPr="00837B43" w:rsidRDefault="0085747A" w:rsidP="00837B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37B43" w:rsidRDefault="0085747A" w:rsidP="00837B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7B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7B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837B43" w:rsidTr="004E7F15">
        <w:trPr>
          <w:trHeight w:hRule="exact" w:val="567"/>
        </w:trPr>
        <w:tc>
          <w:tcPr>
            <w:tcW w:w="1990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0D4A1D" w:rsidRPr="00837B43" w:rsidRDefault="000D4A1D" w:rsidP="00837B4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37B43">
              <w:rPr>
                <w:rFonts w:ascii="Corbel" w:hAnsi="Corbel"/>
                <w:b w:val="0"/>
                <w:sz w:val="22"/>
              </w:rPr>
              <w:t>dyskusja w trakcie wykładu</w:t>
            </w:r>
            <w:r w:rsidR="00C05DF5" w:rsidRPr="00837B43">
              <w:rPr>
                <w:rFonts w:ascii="Corbel" w:hAnsi="Corbel"/>
                <w:b w:val="0"/>
                <w:sz w:val="22"/>
              </w:rPr>
              <w:t xml:space="preserve">, </w:t>
            </w:r>
            <w:r w:rsidR="00C05DF5" w:rsidRPr="00837B43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837B43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  <w:p w:rsidR="000D4A1D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37B43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0D4A1D" w:rsidRPr="00837B43" w:rsidTr="004E7F15">
        <w:trPr>
          <w:trHeight w:hRule="exact" w:val="567"/>
        </w:trPr>
        <w:tc>
          <w:tcPr>
            <w:tcW w:w="1990" w:type="dxa"/>
          </w:tcPr>
          <w:p w:rsidR="000D4A1D" w:rsidRPr="00837B43" w:rsidRDefault="000D4A1D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837B43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D4A1D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837B43" w:rsidTr="004E7F15">
        <w:trPr>
          <w:trHeight w:hRule="exact" w:val="567"/>
        </w:trPr>
        <w:tc>
          <w:tcPr>
            <w:tcW w:w="1990" w:type="dxa"/>
          </w:tcPr>
          <w:p w:rsidR="000D4A1D" w:rsidRPr="00837B43" w:rsidRDefault="000D4A1D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837B43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D4A1D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837B43" w:rsidTr="004E7F15">
        <w:trPr>
          <w:trHeight w:hRule="exact" w:val="567"/>
        </w:trPr>
        <w:tc>
          <w:tcPr>
            <w:tcW w:w="1990" w:type="dxa"/>
          </w:tcPr>
          <w:p w:rsidR="000D4A1D" w:rsidRPr="00837B43" w:rsidRDefault="000D4A1D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837B43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D4A1D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837B43" w:rsidTr="004E7F15">
        <w:trPr>
          <w:trHeight w:hRule="exact" w:val="567"/>
        </w:trPr>
        <w:tc>
          <w:tcPr>
            <w:tcW w:w="1990" w:type="dxa"/>
          </w:tcPr>
          <w:p w:rsidR="000D4A1D" w:rsidRPr="00837B43" w:rsidRDefault="000D4A1D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837B43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D4A1D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837B43" w:rsidTr="004E7F15">
        <w:trPr>
          <w:trHeight w:hRule="exact" w:val="567"/>
        </w:trPr>
        <w:tc>
          <w:tcPr>
            <w:tcW w:w="1990" w:type="dxa"/>
          </w:tcPr>
          <w:p w:rsidR="000D4A1D" w:rsidRPr="00837B43" w:rsidRDefault="000D4A1D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837B43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D4A1D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837B43" w:rsidTr="004E7F1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990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D4A1D" w:rsidRPr="00837B43" w:rsidRDefault="00C05DF5" w:rsidP="00837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837B43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4A1D" w:rsidRPr="00837B43" w:rsidRDefault="00837B43" w:rsidP="004E7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="004E7F15" w:rsidRDefault="004E7F1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837B4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 xml:space="preserve">4.2 </w:t>
      </w:r>
      <w:r w:rsidR="0085747A" w:rsidRPr="00837B4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37B43">
        <w:rPr>
          <w:rFonts w:ascii="Corbel" w:hAnsi="Corbel"/>
          <w:smallCaps w:val="0"/>
          <w:szCs w:val="24"/>
        </w:rPr>
        <w:t xml:space="preserve"> </w:t>
      </w:r>
    </w:p>
    <w:p w:rsidR="00923D7D" w:rsidRPr="00837B4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7B43" w:rsidTr="00923D7D">
        <w:tc>
          <w:tcPr>
            <w:tcW w:w="9670" w:type="dxa"/>
          </w:tcPr>
          <w:p w:rsidR="0085747A" w:rsidRPr="00837B43" w:rsidRDefault="00C05DF5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37B43">
              <w:rPr>
                <w:rFonts w:ascii="Corbel" w:hAnsi="Corbel"/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</w:t>
            </w:r>
          </w:p>
        </w:tc>
      </w:tr>
    </w:tbl>
    <w:p w:rsidR="0085747A" w:rsidRPr="00837B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37B4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7B43">
        <w:rPr>
          <w:rFonts w:ascii="Corbel" w:hAnsi="Corbel"/>
          <w:b/>
          <w:sz w:val="24"/>
          <w:szCs w:val="24"/>
        </w:rPr>
        <w:t xml:space="preserve">5. </w:t>
      </w:r>
      <w:r w:rsidR="00C61DC5" w:rsidRPr="00837B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37B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37B43" w:rsidTr="003E1941">
        <w:tc>
          <w:tcPr>
            <w:tcW w:w="4962" w:type="dxa"/>
            <w:vAlign w:val="center"/>
          </w:tcPr>
          <w:p w:rsidR="0085747A" w:rsidRPr="00837B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7B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7B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7B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37B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7B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7B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37B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7B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7B43" w:rsidTr="00923D7D">
        <w:tc>
          <w:tcPr>
            <w:tcW w:w="4962" w:type="dxa"/>
          </w:tcPr>
          <w:p w:rsidR="0085747A" w:rsidRPr="00837B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7B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7B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7B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7B4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37B43">
              <w:rPr>
                <w:rFonts w:ascii="Corbel" w:hAnsi="Corbel"/>
                <w:sz w:val="24"/>
                <w:szCs w:val="24"/>
              </w:rPr>
              <w:t xml:space="preserve"> z</w:t>
            </w:r>
            <w:r w:rsidR="004E7F15">
              <w:rPr>
                <w:rFonts w:ascii="Corbel" w:hAnsi="Corbel"/>
                <w:sz w:val="24"/>
                <w:szCs w:val="24"/>
              </w:rPr>
              <w:t xml:space="preserve"> </w:t>
            </w:r>
            <w:r w:rsidR="004E7F15" w:rsidRPr="004E7F15">
              <w:rPr>
                <w:rFonts w:ascii="Corbel" w:hAnsi="Corbel"/>
                <w:sz w:val="24"/>
                <w:szCs w:val="24"/>
              </w:rPr>
              <w:t>harmonogramu</w:t>
            </w:r>
            <w:r w:rsidR="004E7F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7B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Pr="00837B43" w:rsidRDefault="005721D5" w:rsidP="00185B2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37B43">
              <w:rPr>
                <w:rFonts w:ascii="Corbel" w:hAnsi="Corbel"/>
              </w:rPr>
              <w:t>1</w:t>
            </w:r>
            <w:r w:rsidR="00185B26" w:rsidRPr="00837B43">
              <w:rPr>
                <w:rFonts w:ascii="Corbel" w:hAnsi="Corbel"/>
              </w:rPr>
              <w:t>5 godz.</w:t>
            </w:r>
          </w:p>
          <w:p w:rsidR="0085747A" w:rsidRPr="00837B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37B43" w:rsidTr="00923D7D">
        <w:tc>
          <w:tcPr>
            <w:tcW w:w="4962" w:type="dxa"/>
          </w:tcPr>
          <w:p w:rsidR="00C61DC5" w:rsidRPr="00837B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837B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37B43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837B43" w:rsidTr="00923D7D">
        <w:tc>
          <w:tcPr>
            <w:tcW w:w="4962" w:type="dxa"/>
          </w:tcPr>
          <w:p w:rsidR="0071620A" w:rsidRPr="00837B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37B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37B43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837B43" w:rsidTr="00923D7D">
        <w:tc>
          <w:tcPr>
            <w:tcW w:w="4962" w:type="dxa"/>
          </w:tcPr>
          <w:p w:rsidR="0085747A" w:rsidRPr="00837B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37B43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837B43" w:rsidTr="00923D7D">
        <w:tc>
          <w:tcPr>
            <w:tcW w:w="4962" w:type="dxa"/>
          </w:tcPr>
          <w:p w:rsidR="0085747A" w:rsidRPr="00837B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7B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37B43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7B4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837B4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7B4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7B4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37B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37B4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 xml:space="preserve">6. </w:t>
      </w:r>
      <w:r w:rsidR="0085747A" w:rsidRPr="00837B43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837B4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37B43" w:rsidTr="0071620A">
        <w:trPr>
          <w:trHeight w:val="397"/>
        </w:trPr>
        <w:tc>
          <w:tcPr>
            <w:tcW w:w="3544" w:type="dxa"/>
          </w:tcPr>
          <w:p w:rsidR="0085747A" w:rsidRPr="00837B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37B43" w:rsidRDefault="004E7F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37B43" w:rsidTr="0071620A">
        <w:trPr>
          <w:trHeight w:val="397"/>
        </w:trPr>
        <w:tc>
          <w:tcPr>
            <w:tcW w:w="3544" w:type="dxa"/>
          </w:tcPr>
          <w:p w:rsidR="0085747A" w:rsidRPr="00837B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7B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37B43" w:rsidRDefault="004E7F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837B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37B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7B43">
        <w:rPr>
          <w:rFonts w:ascii="Corbel" w:hAnsi="Corbel"/>
          <w:smallCaps w:val="0"/>
          <w:szCs w:val="24"/>
        </w:rPr>
        <w:t xml:space="preserve">7. </w:t>
      </w:r>
      <w:r w:rsidR="0085747A" w:rsidRPr="00837B43">
        <w:rPr>
          <w:rFonts w:ascii="Corbel" w:hAnsi="Corbel"/>
          <w:smallCaps w:val="0"/>
          <w:szCs w:val="24"/>
        </w:rPr>
        <w:t>LITERATURA</w:t>
      </w:r>
      <w:r w:rsidRPr="00837B43">
        <w:rPr>
          <w:rFonts w:ascii="Corbel" w:hAnsi="Corbel"/>
          <w:smallCaps w:val="0"/>
          <w:szCs w:val="24"/>
        </w:rPr>
        <w:t xml:space="preserve"> </w:t>
      </w:r>
    </w:p>
    <w:p w:rsidR="00675843" w:rsidRPr="00837B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37B43" w:rsidTr="0071620A">
        <w:trPr>
          <w:trHeight w:val="397"/>
        </w:trPr>
        <w:tc>
          <w:tcPr>
            <w:tcW w:w="7513" w:type="dxa"/>
          </w:tcPr>
          <w:p w:rsidR="000360DB" w:rsidRDefault="000360DB" w:rsidP="003C06AE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37B43">
              <w:rPr>
                <w:rFonts w:ascii="Corbel" w:hAnsi="Corbel"/>
                <w:b/>
                <w:bCs/>
                <w:sz w:val="20"/>
                <w:szCs w:val="20"/>
              </w:rPr>
              <w:t>Literatura podstawowa:</w:t>
            </w:r>
          </w:p>
          <w:p w:rsidR="004E7F15" w:rsidRPr="00837B43" w:rsidRDefault="004E7F15" w:rsidP="003C06A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0"/>
                <w:szCs w:val="20"/>
              </w:rPr>
            </w:pPr>
          </w:p>
          <w:p w:rsidR="003C06AE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1. A. Chłopecki, M. Dyl, </w:t>
            </w:r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Prawo rynku kapitałowego</w:t>
            </w:r>
            <w:r w:rsidRPr="00837B43">
              <w:rPr>
                <w:rFonts w:ascii="Corbel" w:hAnsi="Corbel"/>
                <w:sz w:val="20"/>
                <w:szCs w:val="20"/>
              </w:rPr>
              <w:t>, Warszawa 2017</w:t>
            </w:r>
          </w:p>
          <w:p w:rsidR="003C06AE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2. U. Banaszczak- Soroka, </w:t>
            </w:r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Rynek </w:t>
            </w:r>
            <w:proofErr w:type="spellStart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, </w:t>
            </w:r>
            <w:r w:rsidRPr="00837B43">
              <w:rPr>
                <w:rFonts w:ascii="Corbel" w:hAnsi="Corbel"/>
                <w:sz w:val="20"/>
                <w:szCs w:val="20"/>
              </w:rPr>
              <w:t>Warszawa 2016</w:t>
            </w:r>
          </w:p>
          <w:p w:rsidR="005721D5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3. J. Olszewski. </w:t>
            </w:r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Prawo </w:t>
            </w:r>
            <w:proofErr w:type="spellStart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papierów</w:t>
            </w:r>
            <w:proofErr w:type="spellEnd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wartościowych</w:t>
            </w:r>
            <w:proofErr w:type="spellEnd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 i instytucje rynku kapitałowego</w:t>
            </w:r>
            <w:r w:rsidRPr="00837B43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Przemyśl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 2000</w:t>
            </w:r>
            <w:r w:rsidRPr="00837B43">
              <w:rPr>
                <w:rFonts w:ascii="Corbel" w:hAnsi="Corbel"/>
              </w:rPr>
              <w:t xml:space="preserve"> </w:t>
            </w:r>
          </w:p>
        </w:tc>
      </w:tr>
      <w:tr w:rsidR="0085747A" w:rsidRPr="00837B43" w:rsidTr="003D020C">
        <w:trPr>
          <w:trHeight w:val="272"/>
        </w:trPr>
        <w:tc>
          <w:tcPr>
            <w:tcW w:w="7513" w:type="dxa"/>
          </w:tcPr>
          <w:p w:rsidR="0085747A" w:rsidRDefault="0085747A" w:rsidP="003C06A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 w:val="20"/>
                <w:szCs w:val="20"/>
              </w:rPr>
            </w:pPr>
            <w:r w:rsidRPr="00837B43">
              <w:rPr>
                <w:rFonts w:ascii="Corbel" w:hAnsi="Corbel"/>
                <w:bCs/>
                <w:smallCaps w:val="0"/>
                <w:sz w:val="20"/>
                <w:szCs w:val="20"/>
              </w:rPr>
              <w:t xml:space="preserve">Literatura uzupełniająca: </w:t>
            </w:r>
          </w:p>
          <w:p w:rsidR="004E7F15" w:rsidRPr="00837B43" w:rsidRDefault="004E7F15" w:rsidP="003C06A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 w:val="20"/>
                <w:szCs w:val="20"/>
              </w:rPr>
            </w:pPr>
          </w:p>
          <w:p w:rsidR="003C06AE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1. A. M. </w:t>
            </w:r>
            <w:proofErr w:type="spellStart"/>
            <w:r w:rsidRPr="00837B43">
              <w:rPr>
                <w:rFonts w:ascii="Corbel" w:hAnsi="Corbel"/>
                <w:sz w:val="20"/>
                <w:szCs w:val="20"/>
              </w:rPr>
              <w:t>Weber-Elżanowska</w:t>
            </w:r>
            <w:proofErr w:type="spellEnd"/>
            <w:r w:rsidRPr="00837B43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Wpływ instytucji prawnych rynku kapitałowego na </w:t>
            </w:r>
            <w:proofErr w:type="spellStart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efektywnośc</w:t>
            </w:r>
            <w:proofErr w:type="spellEnd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́ </w:t>
            </w:r>
            <w:proofErr w:type="spellStart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Spółek</w:t>
            </w:r>
            <w:proofErr w:type="spellEnd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 Skarbu </w:t>
            </w:r>
            <w:proofErr w:type="spellStart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Państwa</w:t>
            </w:r>
            <w:proofErr w:type="spellEnd"/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 xml:space="preserve">, </w:t>
            </w:r>
            <w:r w:rsidRPr="00837B43">
              <w:rPr>
                <w:rFonts w:ascii="Corbel" w:hAnsi="Corbel"/>
                <w:sz w:val="20"/>
                <w:szCs w:val="20"/>
              </w:rPr>
              <w:t xml:space="preserve">Warszawa 2017 </w:t>
            </w:r>
          </w:p>
          <w:p w:rsidR="005721D5" w:rsidRPr="00837B43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837B43">
              <w:rPr>
                <w:rFonts w:ascii="Corbel" w:hAnsi="Corbel"/>
                <w:sz w:val="20"/>
                <w:szCs w:val="20"/>
              </w:rPr>
              <w:t xml:space="preserve">2. M. Wierzbowski, L. Sobolewski, P. Wajda, </w:t>
            </w:r>
            <w:r w:rsidRPr="00837B43">
              <w:rPr>
                <w:rFonts w:ascii="Corbel" w:hAnsi="Corbel"/>
                <w:i/>
                <w:iCs/>
                <w:sz w:val="20"/>
                <w:szCs w:val="20"/>
              </w:rPr>
              <w:t>Prawo rynku kapitałowego. Komentarz</w:t>
            </w:r>
            <w:r w:rsidRPr="00837B43">
              <w:rPr>
                <w:rFonts w:ascii="Corbel" w:hAnsi="Corbel"/>
                <w:sz w:val="20"/>
                <w:szCs w:val="20"/>
              </w:rPr>
              <w:t>, Warszawa 2014</w:t>
            </w:r>
            <w:r w:rsidRPr="00837B43">
              <w:rPr>
                <w:rFonts w:ascii="Corbel" w:hAnsi="Corbel"/>
              </w:rPr>
              <w:t xml:space="preserve"> </w:t>
            </w:r>
          </w:p>
        </w:tc>
      </w:tr>
    </w:tbl>
    <w:p w:rsidR="0085747A" w:rsidRPr="00837B4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37B4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7B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7B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74D" w:rsidRDefault="0011674D" w:rsidP="00C16ABF">
      <w:pPr>
        <w:spacing w:after="0" w:line="240" w:lineRule="auto"/>
      </w:pPr>
      <w:r>
        <w:separator/>
      </w:r>
    </w:p>
  </w:endnote>
  <w:endnote w:type="continuationSeparator" w:id="0">
    <w:p w:rsidR="0011674D" w:rsidRDefault="001167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74D" w:rsidRDefault="0011674D" w:rsidP="00C16ABF">
      <w:pPr>
        <w:spacing w:after="0" w:line="240" w:lineRule="auto"/>
      </w:pPr>
      <w:r>
        <w:separator/>
      </w:r>
    </w:p>
  </w:footnote>
  <w:footnote w:type="continuationSeparator" w:id="0">
    <w:p w:rsidR="0011674D" w:rsidRDefault="0011674D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1674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92F37"/>
    <w:rsid w:val="001A70D2"/>
    <w:rsid w:val="001C35A9"/>
    <w:rsid w:val="001D657B"/>
    <w:rsid w:val="001D768E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A77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5AD"/>
    <w:rsid w:val="00461EFC"/>
    <w:rsid w:val="004652C2"/>
    <w:rsid w:val="004706D1"/>
    <w:rsid w:val="00471326"/>
    <w:rsid w:val="0047598D"/>
    <w:rsid w:val="004840FD"/>
    <w:rsid w:val="00490919"/>
    <w:rsid w:val="00490F7D"/>
    <w:rsid w:val="00491678"/>
    <w:rsid w:val="004968E2"/>
    <w:rsid w:val="004A3EEA"/>
    <w:rsid w:val="004A4D1F"/>
    <w:rsid w:val="004D5282"/>
    <w:rsid w:val="004E7F15"/>
    <w:rsid w:val="004F1551"/>
    <w:rsid w:val="004F55A3"/>
    <w:rsid w:val="0050496F"/>
    <w:rsid w:val="00513B6F"/>
    <w:rsid w:val="00517C63"/>
    <w:rsid w:val="005363C4"/>
    <w:rsid w:val="00536BDE"/>
    <w:rsid w:val="00543104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37B43"/>
    <w:rsid w:val="00843577"/>
    <w:rsid w:val="008449B3"/>
    <w:rsid w:val="00851A52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C5CFD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0C53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40CF"/>
    <w:rsid w:val="00BB520A"/>
    <w:rsid w:val="00BD3869"/>
    <w:rsid w:val="00BD66E9"/>
    <w:rsid w:val="00BD6FF4"/>
    <w:rsid w:val="00BE7D0D"/>
    <w:rsid w:val="00BF2C41"/>
    <w:rsid w:val="00C058B4"/>
    <w:rsid w:val="00C05DF5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0422"/>
    <w:rsid w:val="00CE487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4E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1205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9D94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ABCFB-2DD9-45F9-8D28-47246A77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1382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2021-11-25T09:44:00Z</dcterms:created>
  <dcterms:modified xsi:type="dcterms:W3CDTF">2022-11-29T12:48:00Z</dcterms:modified>
</cp:coreProperties>
</file>